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581" w:beforeLines="100" w:after="581" w:afterLines="100"/>
        <w:jc w:val="center"/>
        <w:textAlignment w:val="auto"/>
        <w:rPr>
          <w:rFonts w:hint="eastAsia" w:ascii="方正小标宋简体" w:eastAsia="方正小标宋简体"/>
          <w:sz w:val="20"/>
          <w:szCs w:val="20"/>
        </w:rPr>
      </w:pPr>
      <w:r>
        <w:rPr>
          <w:rFonts w:hint="eastAsia" w:ascii="方正小标宋简体" w:eastAsia="方正小标宋简体"/>
          <w:b/>
          <w:bCs/>
          <w:kern w:val="44"/>
          <w:sz w:val="40"/>
          <w:szCs w:val="40"/>
          <w:lang w:val="en-US" w:eastAsia="zh-CN"/>
        </w:rPr>
        <w:t>珠海市质量协会团体标准</w:t>
      </w:r>
      <w:r>
        <w:rPr>
          <w:rFonts w:hint="eastAsia" w:ascii="方正小标宋简体" w:eastAsia="方正小标宋简体"/>
          <w:b/>
          <w:bCs/>
          <w:kern w:val="44"/>
          <w:sz w:val="40"/>
          <w:szCs w:val="40"/>
        </w:rPr>
        <w:t>《“五小”创新成果赛事组织管理规范》</w:t>
      </w:r>
      <w:r>
        <w:rPr>
          <w:rFonts w:hint="eastAsia" w:ascii="方正小标宋简体" w:eastAsia="方正小标宋简体"/>
          <w:b/>
          <w:bCs/>
          <w:kern w:val="44"/>
          <w:sz w:val="40"/>
          <w:szCs w:val="40"/>
          <w:lang w:eastAsia="zh-CN"/>
        </w:rPr>
        <w:t>（</w:t>
      </w:r>
      <w:r>
        <w:rPr>
          <w:rFonts w:hint="eastAsia" w:ascii="方正小标宋简体" w:eastAsia="方正小标宋简体"/>
          <w:b/>
          <w:bCs/>
          <w:kern w:val="44"/>
          <w:sz w:val="40"/>
          <w:szCs w:val="40"/>
          <w:lang w:val="en-US" w:eastAsia="zh-CN"/>
        </w:rPr>
        <w:t>征求意见稿</w:t>
      </w:r>
      <w:r>
        <w:rPr>
          <w:rFonts w:hint="eastAsia" w:ascii="方正小标宋简体" w:eastAsia="方正小标宋简体"/>
          <w:b/>
          <w:bCs/>
          <w:kern w:val="44"/>
          <w:sz w:val="40"/>
          <w:szCs w:val="40"/>
          <w:lang w:eastAsia="zh-CN"/>
        </w:rPr>
        <w:t>）</w:t>
      </w:r>
      <w:r>
        <w:rPr>
          <w:rFonts w:hint="eastAsia" w:ascii="方正小标宋简体" w:eastAsia="方正小标宋简体"/>
          <w:b/>
          <w:bCs/>
          <w:kern w:val="44"/>
          <w:sz w:val="40"/>
          <w:szCs w:val="40"/>
        </w:rPr>
        <w:t>编制说明</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157" w:afterLines="50" w:line="240" w:lineRule="auto"/>
        <w:ind w:firstLine="643" w:firstLineChars="200"/>
        <w:textAlignment w:val="auto"/>
        <w:rPr>
          <w:rFonts w:hint="eastAsia" w:ascii="黑体" w:hAnsi="黑体" w:eastAsia="黑体"/>
          <w:sz w:val="32"/>
          <w:szCs w:val="32"/>
          <w:lang w:val="en-US" w:eastAsia="zh-CN"/>
        </w:rPr>
      </w:pPr>
      <w:r>
        <w:rPr>
          <w:rFonts w:hint="eastAsia" w:ascii="黑体" w:hAnsi="黑体" w:eastAsia="黑体"/>
          <w:lang w:val="en-US" w:eastAsia="zh-CN"/>
        </w:rPr>
        <w:t>工作简况</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Fonts w:hint="default"/>
          <w:sz w:val="32"/>
          <w:szCs w:val="32"/>
          <w:lang w:val="en-US" w:eastAsia="zh-CN"/>
        </w:rPr>
      </w:pPr>
      <w:r>
        <w:rPr>
          <w:rFonts w:hint="eastAsia" w:ascii="Times New Roman" w:hAnsi="Times New Roman" w:eastAsia="仿宋_GB2312"/>
          <w:b/>
          <w:bCs/>
          <w:kern w:val="0"/>
          <w:sz w:val="32"/>
          <w:szCs w:val="32"/>
          <w:lang w:val="en-US" w:eastAsia="zh-CN"/>
        </w:rPr>
        <w:t>任务来源</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本项目来源于</w:t>
      </w:r>
      <w:r>
        <w:rPr>
          <w:rFonts w:hint="eastAsia" w:ascii="仿宋_GB2312" w:eastAsia="仿宋_GB2312"/>
          <w:sz w:val="32"/>
          <w:szCs w:val="32"/>
        </w:rPr>
        <w:t>珠海市质量协会《关于团体标准立项的通知》</w:t>
      </w:r>
      <w:r>
        <w:rPr>
          <w:rFonts w:hint="eastAsia" w:ascii="仿宋_GB2312" w:eastAsia="仿宋_GB2312"/>
          <w:sz w:val="32"/>
          <w:szCs w:val="32"/>
          <w:lang w:eastAsia="zh-CN"/>
        </w:rPr>
        <w:t>（</w:t>
      </w:r>
      <w:r>
        <w:rPr>
          <w:rFonts w:hint="eastAsia" w:ascii="仿宋_GB2312" w:eastAsia="仿宋_GB2312"/>
          <w:sz w:val="32"/>
          <w:szCs w:val="32"/>
          <w:lang w:val="en-US" w:eastAsia="zh-CN"/>
        </w:rPr>
        <w:t>珠质协[2023]11号</w:t>
      </w:r>
      <w:r>
        <w:rPr>
          <w:rFonts w:hint="eastAsia" w:ascii="仿宋_GB2312" w:eastAsia="仿宋_GB2312"/>
          <w:sz w:val="32"/>
          <w:szCs w:val="32"/>
          <w:lang w:eastAsia="zh-CN"/>
        </w:rPr>
        <w:t>）</w:t>
      </w:r>
      <w:r>
        <w:rPr>
          <w:rFonts w:hint="eastAsia" w:ascii="仿宋_GB2312" w:eastAsia="仿宋_GB2312"/>
          <w:sz w:val="32"/>
          <w:szCs w:val="32"/>
          <w:lang w:val="en-US" w:eastAsia="zh-CN"/>
        </w:rPr>
        <w:t>第3项任务</w:t>
      </w:r>
      <w:r>
        <w:rPr>
          <w:rFonts w:hint="eastAsia" w:ascii="仿宋_GB2312" w:eastAsia="仿宋_GB2312"/>
          <w:sz w:val="32"/>
          <w:szCs w:val="32"/>
          <w:lang w:eastAsia="zh-CN"/>
        </w:rPr>
        <w:t>。</w:t>
      </w:r>
      <w:r>
        <w:rPr>
          <w:rFonts w:hint="eastAsia" w:ascii="仿宋_GB2312" w:eastAsia="仿宋_GB2312"/>
          <w:sz w:val="32"/>
          <w:szCs w:val="32"/>
          <w:lang w:val="en-US" w:eastAsia="zh-CN"/>
        </w:rPr>
        <w:t>根据该通知，并依据珠海市质量协会《团体标准制定工作管理办法》及相关规定，制定《“五小”创新成果赛事组织管理规范》。</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本文件由珠海市质量协会、珠海市总工会、珠海格力电器股份有限公司工会委员会、珠海格力能源环境技术有限公司、珠海格力精密模具有限公司、珠海格力电工有限公司等共同起草。</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Fonts w:hint="default" w:ascii="Times New Roman" w:hAnsi="Times New Roman" w:eastAsia="仿宋_GB2312"/>
          <w:b/>
          <w:bCs/>
          <w:kern w:val="0"/>
          <w:sz w:val="32"/>
          <w:szCs w:val="32"/>
          <w:lang w:val="en-US" w:eastAsia="zh-CN"/>
        </w:rPr>
      </w:pPr>
      <w:r>
        <w:rPr>
          <w:rFonts w:hint="eastAsia" w:ascii="Times New Roman" w:hAnsi="Times New Roman" w:eastAsia="仿宋_GB2312"/>
          <w:b/>
          <w:bCs/>
          <w:kern w:val="0"/>
          <w:sz w:val="32"/>
          <w:szCs w:val="32"/>
          <w:lang w:val="en-US" w:eastAsia="zh-CN"/>
        </w:rPr>
        <w:t>标准制定的必要性和意义</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（1）深入持久开展“五小”活动</w:t>
      </w:r>
    </w:p>
    <w:p>
      <w:pPr>
        <w:autoSpaceDE w:val="0"/>
        <w:spacing w:line="360" w:lineRule="auto"/>
        <w:ind w:firstLine="640" w:firstLineChars="200"/>
        <w:jc w:val="left"/>
        <w:rPr>
          <w:rFonts w:hint="eastAsia"/>
          <w:lang w:val="en-US" w:eastAsia="zh-CN"/>
        </w:rPr>
      </w:pPr>
      <w:r>
        <w:rPr>
          <w:rFonts w:hint="eastAsia" w:ascii="仿宋_GB2312" w:eastAsia="仿宋_GB2312"/>
          <w:sz w:val="32"/>
          <w:szCs w:val="32"/>
          <w:lang w:val="en-US" w:eastAsia="zh-CN"/>
        </w:rPr>
        <w:t>“五小”（小发明、小创造、小革新、小设计、小建议）活动是群众性经济技术创新活动的重要内容，是劳动和技能竞赛的重要组成部分，是提高产业工人技能素质的重要抓手。制定“五小”创新成果赛事组织管理规范紧扣高质量发展主题，激发广大职工的创新活力，发展潜力和转型动力，对推动企业技术进步，增强企业生机和活力，促进企业生产发展和经济效益提高，培养知识型、技术型、创新型人才队伍等有着十分重要的作用。</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（2）搭建平台</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在新时期产业工人队伍建设改革阶段，要加大力度为职工搭建技术创新和质量提升的专业交流平台，通过成果展示、路演等活动，促进不同领域、不同行业技术创新和质量提升的分享与推广。</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（3）助推发展</w:t>
      </w:r>
    </w:p>
    <w:p>
      <w:pPr>
        <w:autoSpaceDE w:val="0"/>
        <w:spacing w:line="360" w:lineRule="auto"/>
        <w:ind w:firstLine="640" w:firstLineChars="200"/>
        <w:jc w:val="left"/>
        <w:rPr>
          <w:rFonts w:hint="eastAsia"/>
          <w:lang w:val="en-US" w:eastAsia="zh-CN"/>
        </w:rPr>
      </w:pPr>
      <w:r>
        <w:rPr>
          <w:rFonts w:hint="eastAsia" w:ascii="仿宋_GB2312" w:eastAsia="仿宋_GB2312"/>
          <w:sz w:val="32"/>
          <w:szCs w:val="32"/>
          <w:lang w:val="en-US" w:eastAsia="zh-CN"/>
        </w:rPr>
        <w:t>目前广东省、珠海市均未对该类竞赛制定相关标准，为进一步推进职工“五小”创新成果竞赛持续性发展，激发广大职工创新潜能，增强职工创新意识与创新能力，提升职工技能素质，因此针对性的制定职工“五小”竞赛标准，更好的指导及规范“五小”竞赛活动的开展，推动职工创新成果走出班组、走出企业、走向社会，营造良好创新交流和质量提升氛围。</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Fonts w:hint="default" w:ascii="Times New Roman" w:hAnsi="Times New Roman" w:eastAsia="仿宋_GB2312"/>
          <w:b/>
          <w:bCs/>
          <w:kern w:val="0"/>
          <w:sz w:val="32"/>
          <w:szCs w:val="32"/>
          <w:lang w:val="en-US" w:eastAsia="zh-CN"/>
        </w:rPr>
      </w:pPr>
      <w:r>
        <w:rPr>
          <w:rFonts w:hint="eastAsia" w:ascii="Times New Roman" w:hAnsi="Times New Roman" w:eastAsia="仿宋_GB2312"/>
          <w:b/>
          <w:bCs/>
          <w:kern w:val="0"/>
          <w:sz w:val="32"/>
          <w:szCs w:val="32"/>
          <w:lang w:val="en-US" w:eastAsia="zh-CN"/>
        </w:rPr>
        <w:t>主要起草过程</w:t>
      </w:r>
    </w:p>
    <w:p>
      <w:pPr>
        <w:autoSpaceDE w:val="0"/>
        <w:spacing w:line="360" w:lineRule="auto"/>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在珠海市质量协会下达本标准的制订任务后，牵头单位组织有关专家、技术骨干、活动策划人员成立了标准起草小组，负责标准起草工作。在标准起草赛事的组织申请与报备，技术骨干与活动策划人员收集广东省、珠海市此类活动相关资料，征求赛事相关方意见，调研珠海市产业规划、产业结构及发展现状，并进行多次专题讨论和论证，形成《“五小”创新成果赛事组织管理规范》（草案）。起草单位组织企业技术骨干和标准化技术人员对草案进行了认真细致的讨论和验证，形成了《“五小”创新成果赛事组织管理规范》（征求意见稿）。</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157" w:afterLines="50" w:line="240" w:lineRule="auto"/>
        <w:ind w:firstLine="643" w:firstLineChars="200"/>
        <w:textAlignment w:val="auto"/>
        <w:rPr>
          <w:rFonts w:hint="eastAsia" w:ascii="黑体" w:hAnsi="黑体" w:eastAsia="黑体"/>
          <w:lang w:val="en-US" w:eastAsia="zh-CN"/>
        </w:rPr>
      </w:pPr>
      <w:r>
        <w:rPr>
          <w:rFonts w:hint="eastAsia" w:ascii="黑体" w:hAnsi="黑体" w:eastAsia="黑体"/>
          <w:lang w:val="en-US" w:eastAsia="zh-CN"/>
        </w:rPr>
        <w:t>编制原则</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1. 遵循国家有关方针和政策、法规和规章；</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 格式上按照《GB/T 1.1-2020标准化工作导则 第1部分：标准化文件的机构和起草规则》规定进行编写；</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3. 本着“科学、适度、可行”原则，综合考虑标准通用性、前瞻性以及参赛企业的展示交流实际需要，综合各方意见，确保本标准既可作为监督、指导“五小”创新成果赛事组织的依据，又可作为企业参赛的参照标准。</w:t>
      </w:r>
    </w:p>
    <w:p>
      <w:pPr>
        <w:autoSpaceDE w:val="0"/>
        <w:spacing w:line="360" w:lineRule="auto"/>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4.密切结合珠海市产业分布、产业规划及最新政策法规，充分考虑通过评选“五小”创新成果促进职工成果企业之间、产业之间的良好交流，推动行业技术创新与质量提升。</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157" w:afterLines="50" w:line="240" w:lineRule="auto"/>
        <w:ind w:firstLine="602" w:firstLineChars="200"/>
        <w:textAlignment w:val="auto"/>
        <w:rPr>
          <w:rFonts w:hint="eastAsia" w:ascii="黑体" w:hAnsi="黑体" w:eastAsia="黑体"/>
          <w:sz w:val="30"/>
          <w:szCs w:val="30"/>
          <w:lang w:val="en-US" w:eastAsia="zh-CN"/>
        </w:rPr>
      </w:pPr>
      <w:r>
        <w:rPr>
          <w:rFonts w:hint="eastAsia" w:ascii="黑体" w:hAnsi="黑体" w:eastAsia="黑体"/>
          <w:sz w:val="30"/>
          <w:szCs w:val="30"/>
          <w:lang w:val="en-US" w:eastAsia="zh-CN"/>
        </w:rPr>
        <w:t>范围及主要内容的确定</w:t>
      </w:r>
    </w:p>
    <w:p>
      <w:pPr>
        <w:pStyle w:val="2"/>
        <w:keepNext/>
        <w:keepLines/>
        <w:pageBreakBefore w:val="0"/>
        <w:widowControl w:val="0"/>
        <w:numPr>
          <w:ilvl w:val="0"/>
          <w:numId w:val="4"/>
        </w:numPr>
        <w:kinsoku/>
        <w:wordWrap/>
        <w:overflowPunct/>
        <w:topLinePunct w:val="0"/>
        <w:autoSpaceDE/>
        <w:autoSpaceDN/>
        <w:bidi w:val="0"/>
        <w:adjustRightInd/>
        <w:snapToGrid/>
        <w:spacing w:before="292" w:beforeLines="50" w:after="0" w:line="240" w:lineRule="auto"/>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关于适用范围</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本文件规定了“五小”创新成果赛事组织管理规范的术语和定义、基本要求、活动流程和评选规范。</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本文件适用于“五小”创新成果赛事规范的筹办和实施，其他类型的活动可参照执行。</w:t>
      </w:r>
    </w:p>
    <w:p>
      <w:pPr>
        <w:pStyle w:val="2"/>
        <w:keepNext/>
        <w:keepLines/>
        <w:pageBreakBefore w:val="0"/>
        <w:widowControl w:val="0"/>
        <w:numPr>
          <w:ilvl w:val="0"/>
          <w:numId w:val="4"/>
        </w:numPr>
        <w:kinsoku/>
        <w:wordWrap/>
        <w:overflowPunct/>
        <w:topLinePunct w:val="0"/>
        <w:autoSpaceDE/>
        <w:autoSpaceDN/>
        <w:bidi w:val="0"/>
        <w:adjustRightInd/>
        <w:snapToGrid/>
        <w:spacing w:before="292" w:beforeLines="50" w:after="0" w:line="240" w:lineRule="auto"/>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有关条款的说明</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文件的要素构成按照GB/T1.1-2020规定起草。文件除了设置了前言外，还按照标准化文件的结构设置了8章，分别为范围、规范性引用文件、术语和定义、指导思想、组织机构、评审专家、场地设施、赛事组织管理要求等内容。</w:t>
      </w:r>
    </w:p>
    <w:p>
      <w:pPr>
        <w:pageBreakBefore w:val="0"/>
        <w:widowControl w:val="0"/>
        <w:kinsoku/>
        <w:wordWrap/>
        <w:overflowPunct/>
        <w:topLinePunct w:val="0"/>
        <w:autoSpaceDE w:val="0"/>
        <w:autoSpaceDN/>
        <w:bidi w:val="0"/>
        <w:adjustRightInd/>
        <w:snapToGrid/>
        <w:spacing w:line="24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该标准主要技术内容包括：</w:t>
      </w:r>
    </w:p>
    <w:p>
      <w:pPr>
        <w:pageBreakBefore w:val="0"/>
        <w:widowControl w:val="0"/>
        <w:numPr>
          <w:ilvl w:val="0"/>
          <w:numId w:val="5"/>
        </w:numPr>
        <w:kinsoku/>
        <w:wordWrap/>
        <w:overflowPunct/>
        <w:topLinePunct w:val="0"/>
        <w:autoSpaceDE w:val="0"/>
        <w:autoSpaceDN/>
        <w:bidi w:val="0"/>
        <w:adjustRightInd/>
        <w:snapToGrid/>
        <w:spacing w:line="240" w:lineRule="auto"/>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范围</w:t>
      </w:r>
      <w:r>
        <w:rPr>
          <w:rFonts w:hint="eastAsia" w:ascii="仿宋_GB2312" w:eastAsia="仿宋_GB2312"/>
          <w:b/>
          <w:bCs/>
          <w:sz w:val="32"/>
          <w:szCs w:val="32"/>
          <w:lang w:val="en-US" w:eastAsia="zh-CN"/>
        </w:rPr>
        <w:tab/>
      </w:r>
      <w:r>
        <w:rPr>
          <w:rFonts w:hint="eastAsia" w:ascii="仿宋_GB2312" w:eastAsia="仿宋_GB2312"/>
          <w:b/>
          <w:bCs/>
          <w:sz w:val="32"/>
          <w:szCs w:val="32"/>
          <w:lang w:val="en-US" w:eastAsia="zh-CN"/>
        </w:rPr>
        <w:t xml:space="preserve"> </w:t>
      </w:r>
      <w:r>
        <w:rPr>
          <w:rFonts w:hint="eastAsia" w:ascii="仿宋_GB2312" w:eastAsia="仿宋_GB2312"/>
          <w:b w:val="0"/>
          <w:bCs w:val="0"/>
          <w:sz w:val="32"/>
          <w:szCs w:val="32"/>
          <w:lang w:val="en-US" w:eastAsia="zh-CN"/>
        </w:rPr>
        <w:t>明确了本文件的适用范围，</w:t>
      </w:r>
      <w:r>
        <w:rPr>
          <w:rFonts w:hint="eastAsia" w:ascii="仿宋_GB2312" w:eastAsia="仿宋_GB2312"/>
          <w:sz w:val="32"/>
          <w:szCs w:val="32"/>
          <w:lang w:val="en-US" w:eastAsia="zh-CN"/>
        </w:rPr>
        <w:t>并用注解说明“五小”包括小发明、小创造、小革新、小设计和小建议。</w:t>
      </w:r>
    </w:p>
    <w:p>
      <w:pPr>
        <w:pStyle w:val="2"/>
        <w:keepNext/>
        <w:keepLines/>
        <w:pageBreakBefore w:val="0"/>
        <w:widowControl w:val="0"/>
        <w:numPr>
          <w:ilvl w:val="0"/>
          <w:numId w:val="6"/>
        </w:numPr>
        <w:kinsoku/>
        <w:wordWrap/>
        <w:overflowPunct/>
        <w:topLinePunct w:val="0"/>
        <w:autoSpaceDE/>
        <w:autoSpaceDN/>
        <w:bidi w:val="0"/>
        <w:adjustRightInd/>
        <w:snapToGrid/>
        <w:spacing w:before="0" w:after="0" w:line="240" w:lineRule="auto"/>
        <w:ind w:firstLine="643" w:firstLineChars="200"/>
        <w:textAlignment w:val="auto"/>
        <w:rPr>
          <w:rFonts w:hint="eastAsia" w:ascii="仿宋_GB2312" w:eastAsia="仿宋_GB2312"/>
          <w:b w:val="0"/>
          <w:bCs w:val="0"/>
          <w:sz w:val="32"/>
          <w:szCs w:val="32"/>
          <w:lang w:val="en-US" w:eastAsia="zh-CN"/>
        </w:rPr>
      </w:pPr>
      <w:r>
        <w:rPr>
          <w:rFonts w:hint="eastAsia" w:ascii="仿宋_GB2312" w:eastAsia="仿宋_GB2312"/>
          <w:sz w:val="32"/>
          <w:szCs w:val="32"/>
          <w:lang w:val="en-US" w:eastAsia="zh-CN"/>
        </w:rPr>
        <w:t xml:space="preserve">规范性引用文件 </w:t>
      </w:r>
      <w:r>
        <w:rPr>
          <w:rFonts w:hint="eastAsia" w:ascii="仿宋_GB2312" w:eastAsia="仿宋_GB2312"/>
          <w:b w:val="0"/>
          <w:bCs w:val="0"/>
          <w:sz w:val="32"/>
          <w:szCs w:val="32"/>
          <w:lang w:val="en-US" w:eastAsia="zh-CN"/>
        </w:rPr>
        <w:t>共引用国家推荐性标准1份。</w:t>
      </w:r>
    </w:p>
    <w:p>
      <w:pPr>
        <w:pStyle w:val="2"/>
        <w:keepNext/>
        <w:keepLines/>
        <w:pageBreakBefore w:val="0"/>
        <w:widowControl w:val="0"/>
        <w:numPr>
          <w:ilvl w:val="0"/>
          <w:numId w:val="6"/>
        </w:numPr>
        <w:kinsoku/>
        <w:wordWrap/>
        <w:overflowPunct/>
        <w:topLinePunct w:val="0"/>
        <w:autoSpaceDE/>
        <w:autoSpaceDN/>
        <w:bidi w:val="0"/>
        <w:adjustRightInd/>
        <w:snapToGrid/>
        <w:spacing w:before="0" w:after="0" w:line="240" w:lineRule="auto"/>
        <w:ind w:firstLine="643"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术语和定义 </w:t>
      </w:r>
      <w:r>
        <w:rPr>
          <w:rFonts w:hint="eastAsia" w:ascii="仿宋_GB2312" w:eastAsia="仿宋_GB2312"/>
          <w:b w:val="0"/>
          <w:bCs w:val="0"/>
          <w:sz w:val="32"/>
          <w:szCs w:val="32"/>
          <w:lang w:val="en-US" w:eastAsia="zh-CN"/>
        </w:rPr>
        <w:t>对五小创新成果进行了定义。</w:t>
      </w:r>
    </w:p>
    <w:p>
      <w:pPr>
        <w:pageBreakBefore w:val="0"/>
        <w:widowControl w:val="0"/>
        <w:numPr>
          <w:ilvl w:val="0"/>
          <w:numId w:val="6"/>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eastAsia="仿宋_GB2312"/>
          <w:sz w:val="32"/>
          <w:szCs w:val="32"/>
          <w:lang w:val="en-US" w:eastAsia="zh-CN"/>
        </w:rPr>
      </w:pPr>
      <w:r>
        <w:rPr>
          <w:rFonts w:hint="eastAsia" w:ascii="仿宋_GB2312" w:eastAsia="仿宋_GB2312" w:cs="Times New Roman"/>
          <w:b/>
          <w:bCs/>
          <w:kern w:val="2"/>
          <w:sz w:val="32"/>
          <w:szCs w:val="32"/>
          <w:lang w:val="en-US" w:eastAsia="zh-CN" w:bidi="ar-SA"/>
        </w:rPr>
        <w:t xml:space="preserve">赛事组织 </w:t>
      </w:r>
      <w:r>
        <w:rPr>
          <w:rFonts w:hint="eastAsia" w:ascii="仿宋_GB2312" w:eastAsia="仿宋_GB2312"/>
          <w:sz w:val="32"/>
          <w:szCs w:val="32"/>
          <w:lang w:val="en-US" w:eastAsia="zh-CN"/>
        </w:rPr>
        <w:t>对组织机构的资质、组成及职责提出了明确要求。</w:t>
      </w:r>
    </w:p>
    <w:p>
      <w:pPr>
        <w:pageBreakBefore w:val="0"/>
        <w:widowControl w:val="0"/>
        <w:numPr>
          <w:ilvl w:val="0"/>
          <w:numId w:val="6"/>
        </w:numPr>
        <w:kinsoku/>
        <w:wordWrap/>
        <w:overflowPunct/>
        <w:topLinePunct w:val="0"/>
        <w:autoSpaceDE/>
        <w:autoSpaceDN/>
        <w:bidi w:val="0"/>
        <w:adjustRightInd/>
        <w:snapToGrid/>
        <w:spacing w:line="240" w:lineRule="auto"/>
        <w:ind w:left="0" w:leftChars="0" w:firstLine="643" w:firstLineChars="200"/>
        <w:textAlignment w:val="auto"/>
        <w:rPr>
          <w:rFonts w:hint="default" w:ascii="仿宋_GB2312" w:hAnsi="Calibri" w:eastAsia="仿宋_GB2312" w:cs="Times New Roman"/>
          <w:b/>
          <w:bCs/>
          <w:kern w:val="2"/>
          <w:sz w:val="32"/>
          <w:szCs w:val="32"/>
          <w:lang w:val="en-US" w:eastAsia="zh-CN" w:bidi="ar-SA"/>
        </w:rPr>
      </w:pPr>
      <w:r>
        <w:rPr>
          <w:rFonts w:hint="eastAsia" w:ascii="仿宋_GB2312" w:eastAsia="仿宋_GB2312" w:cs="Times New Roman"/>
          <w:b/>
          <w:bCs/>
          <w:kern w:val="2"/>
          <w:sz w:val="32"/>
          <w:szCs w:val="32"/>
          <w:lang w:val="en-US" w:eastAsia="zh-CN" w:bidi="ar-SA"/>
        </w:rPr>
        <w:t xml:space="preserve">工作人员 </w:t>
      </w:r>
      <w:r>
        <w:rPr>
          <w:rFonts w:hint="eastAsia" w:ascii="仿宋_GB2312" w:eastAsia="仿宋_GB2312" w:cs="Times New Roman"/>
          <w:b w:val="0"/>
          <w:bCs w:val="0"/>
          <w:kern w:val="2"/>
          <w:sz w:val="32"/>
          <w:szCs w:val="32"/>
          <w:lang w:val="en-US" w:eastAsia="zh-CN" w:bidi="ar-SA"/>
        </w:rPr>
        <w:t>对工作人员的配置、能力要求和工作职责进行了描述。</w:t>
      </w:r>
    </w:p>
    <w:p>
      <w:pPr>
        <w:pageBreakBefore w:val="0"/>
        <w:widowControl w:val="0"/>
        <w:numPr>
          <w:ilvl w:val="0"/>
          <w:numId w:val="6"/>
        </w:numPr>
        <w:kinsoku/>
        <w:wordWrap/>
        <w:overflowPunct/>
        <w:topLinePunct w:val="0"/>
        <w:autoSpaceDE/>
        <w:autoSpaceDN/>
        <w:bidi w:val="0"/>
        <w:adjustRightInd/>
        <w:snapToGrid/>
        <w:spacing w:line="240" w:lineRule="auto"/>
        <w:ind w:left="0" w:leftChars="0" w:firstLine="643" w:firstLineChars="200"/>
        <w:textAlignment w:val="auto"/>
        <w:rPr>
          <w:rFonts w:hint="default" w:ascii="仿宋_GB2312" w:eastAsia="仿宋_GB2312" w:cs="Times New Roman"/>
          <w:b w:val="0"/>
          <w:bCs w:val="0"/>
          <w:kern w:val="2"/>
          <w:sz w:val="32"/>
          <w:szCs w:val="32"/>
          <w:lang w:val="en-US" w:eastAsia="zh-CN" w:bidi="ar-SA"/>
        </w:rPr>
      </w:pPr>
      <w:r>
        <w:rPr>
          <w:rFonts w:hint="eastAsia" w:ascii="仿宋_GB2312" w:hAnsi="Calibri" w:eastAsia="仿宋_GB2312" w:cs="Times New Roman"/>
          <w:b/>
          <w:bCs/>
          <w:kern w:val="2"/>
          <w:sz w:val="32"/>
          <w:szCs w:val="32"/>
          <w:lang w:val="en-US" w:eastAsia="zh-CN" w:bidi="ar-SA"/>
        </w:rPr>
        <w:t>评审专家</w:t>
      </w:r>
      <w:r>
        <w:rPr>
          <w:rFonts w:hint="eastAsia" w:ascii="仿宋_GB2312" w:eastAsia="仿宋_GB2312" w:cs="Times New Roman"/>
          <w:b/>
          <w:bCs/>
          <w:kern w:val="2"/>
          <w:sz w:val="32"/>
          <w:szCs w:val="32"/>
          <w:lang w:val="en-US" w:eastAsia="zh-CN" w:bidi="ar-SA"/>
        </w:rPr>
        <w:t xml:space="preserve"> </w:t>
      </w:r>
      <w:r>
        <w:rPr>
          <w:rFonts w:hint="eastAsia" w:ascii="仿宋_GB2312" w:eastAsia="仿宋_GB2312" w:cs="Times New Roman"/>
          <w:b w:val="0"/>
          <w:bCs w:val="0"/>
          <w:kern w:val="2"/>
          <w:sz w:val="32"/>
          <w:szCs w:val="32"/>
          <w:lang w:val="en-US" w:eastAsia="zh-CN" w:bidi="ar-SA"/>
        </w:rPr>
        <w:t>对评审专家的人数、入选条件的和职责做了要求。</w:t>
      </w:r>
    </w:p>
    <w:p>
      <w:pPr>
        <w:pageBreakBefore w:val="0"/>
        <w:widowControl w:val="0"/>
        <w:numPr>
          <w:ilvl w:val="0"/>
          <w:numId w:val="6"/>
        </w:numPr>
        <w:kinsoku/>
        <w:wordWrap/>
        <w:overflowPunct/>
        <w:topLinePunct w:val="0"/>
        <w:autoSpaceDE/>
        <w:autoSpaceDN/>
        <w:bidi w:val="0"/>
        <w:adjustRightInd/>
        <w:snapToGrid/>
        <w:spacing w:line="240" w:lineRule="auto"/>
        <w:ind w:left="0" w:leftChars="0" w:firstLine="643" w:firstLineChars="200"/>
        <w:textAlignment w:val="auto"/>
        <w:rPr>
          <w:rFonts w:hint="default"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bCs/>
          <w:kern w:val="2"/>
          <w:sz w:val="32"/>
          <w:szCs w:val="32"/>
          <w:lang w:val="en-US" w:eastAsia="zh-CN" w:bidi="ar-SA"/>
        </w:rPr>
        <w:t>场地设施</w:t>
      </w:r>
      <w:r>
        <w:rPr>
          <w:rFonts w:hint="eastAsia" w:ascii="仿宋_GB2312" w:eastAsia="仿宋_GB2312" w:cs="Times New Roman"/>
          <w:b w:val="0"/>
          <w:bCs w:val="0"/>
          <w:kern w:val="2"/>
          <w:sz w:val="32"/>
          <w:szCs w:val="32"/>
          <w:lang w:val="en-US" w:eastAsia="zh-CN" w:bidi="ar-SA"/>
        </w:rPr>
        <w:t xml:space="preserve"> </w:t>
      </w:r>
      <w:r>
        <w:rPr>
          <w:rFonts w:hint="eastAsia" w:ascii="仿宋_GB2312" w:eastAsia="仿宋_GB2312" w:cs="Times New Roman"/>
          <w:b w:val="0"/>
          <w:bCs w:val="0"/>
          <w:kern w:val="2"/>
          <w:sz w:val="32"/>
          <w:szCs w:val="32"/>
          <w:lang w:val="en-US" w:eastAsia="zh-CN" w:bidi="ar-SA"/>
        </w:rPr>
        <w:tab/>
      </w:r>
      <w:r>
        <w:rPr>
          <w:rFonts w:hint="eastAsia" w:ascii="仿宋_GB2312" w:eastAsia="仿宋_GB2312" w:cs="Times New Roman"/>
          <w:b w:val="0"/>
          <w:bCs w:val="0"/>
          <w:kern w:val="2"/>
          <w:sz w:val="32"/>
          <w:szCs w:val="32"/>
          <w:lang w:val="en-US" w:eastAsia="zh-CN" w:bidi="ar-SA"/>
        </w:rPr>
        <w:t>明确场外和场内的要求。</w:t>
      </w:r>
    </w:p>
    <w:p>
      <w:pPr>
        <w:pageBreakBefore w:val="0"/>
        <w:widowControl w:val="0"/>
        <w:numPr>
          <w:ilvl w:val="0"/>
          <w:numId w:val="6"/>
        </w:numPr>
        <w:kinsoku/>
        <w:wordWrap/>
        <w:overflowPunct/>
        <w:topLinePunct w:val="0"/>
        <w:autoSpaceDE/>
        <w:autoSpaceDN/>
        <w:bidi w:val="0"/>
        <w:adjustRightInd/>
        <w:snapToGrid/>
        <w:spacing w:line="240" w:lineRule="auto"/>
        <w:ind w:left="0" w:leftChars="0" w:firstLine="643" w:firstLineChars="200"/>
        <w:textAlignment w:val="auto"/>
        <w:rPr>
          <w:rFonts w:hint="default" w:ascii="仿宋_GB2312" w:hAnsi="Calibri" w:eastAsia="仿宋_GB2312" w:cs="Times New Roman"/>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 xml:space="preserve">赛事组织管理要求 </w:t>
      </w:r>
      <w:r>
        <w:rPr>
          <w:rFonts w:hint="eastAsia" w:ascii="仿宋_GB2312" w:eastAsia="仿宋_GB2312" w:cs="Times New Roman"/>
          <w:b/>
          <w:bCs/>
          <w:kern w:val="2"/>
          <w:sz w:val="32"/>
          <w:szCs w:val="32"/>
          <w:lang w:val="en-US" w:eastAsia="zh-CN" w:bidi="ar-SA"/>
        </w:rPr>
        <w:tab/>
      </w:r>
      <w:r>
        <w:rPr>
          <w:rFonts w:hint="eastAsia" w:ascii="仿宋_GB2312" w:eastAsia="仿宋_GB2312" w:cs="Times New Roman"/>
          <w:b w:val="0"/>
          <w:bCs w:val="0"/>
          <w:kern w:val="2"/>
          <w:sz w:val="32"/>
          <w:szCs w:val="32"/>
          <w:lang w:val="en-US" w:eastAsia="zh-CN" w:bidi="ar-SA"/>
        </w:rPr>
        <w:t>明确赛事活动的流程、评审内容、评审方式 、评审工作的监督与公开、应急管理。</w:t>
      </w:r>
    </w:p>
    <w:p>
      <w:pPr>
        <w:pageBreakBefore w:val="0"/>
        <w:widowControl w:val="0"/>
        <w:numPr>
          <w:ilvl w:val="0"/>
          <w:numId w:val="6"/>
        </w:numPr>
        <w:kinsoku/>
        <w:wordWrap/>
        <w:overflowPunct/>
        <w:topLinePunct w:val="0"/>
        <w:autoSpaceDE/>
        <w:autoSpaceDN/>
        <w:bidi w:val="0"/>
        <w:adjustRightInd/>
        <w:snapToGrid/>
        <w:spacing w:line="240" w:lineRule="auto"/>
        <w:ind w:left="0" w:leftChars="0" w:firstLine="643" w:firstLineChars="200"/>
        <w:textAlignment w:val="auto"/>
        <w:rPr>
          <w:rFonts w:hint="default" w:ascii="仿宋_GB2312" w:hAnsi="Calibri" w:eastAsia="仿宋_GB2312" w:cs="Times New Roman"/>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 xml:space="preserve">评价与改进 </w:t>
      </w:r>
      <w:r>
        <w:rPr>
          <w:rFonts w:hint="eastAsia" w:ascii="仿宋_GB2312" w:eastAsia="仿宋_GB2312" w:cs="Times New Roman"/>
          <w:b/>
          <w:bCs/>
          <w:kern w:val="2"/>
          <w:sz w:val="32"/>
          <w:szCs w:val="32"/>
          <w:lang w:val="en-US" w:eastAsia="zh-CN" w:bidi="ar-SA"/>
        </w:rPr>
        <w:tab/>
      </w:r>
      <w:r>
        <w:rPr>
          <w:rFonts w:hint="eastAsia" w:ascii="仿宋_GB2312" w:eastAsia="仿宋_GB2312" w:cs="Times New Roman"/>
          <w:b w:val="0"/>
          <w:bCs w:val="0"/>
          <w:kern w:val="2"/>
          <w:sz w:val="32"/>
          <w:szCs w:val="32"/>
          <w:lang w:val="en-US" w:eastAsia="zh-CN" w:bidi="ar-SA"/>
        </w:rPr>
        <w:t>明确评估、改进的机制和方法。</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157" w:afterLines="50" w:line="240" w:lineRule="auto"/>
        <w:ind w:firstLine="602" w:firstLineChars="200"/>
        <w:textAlignment w:val="auto"/>
        <w:rPr>
          <w:rFonts w:hint="eastAsia" w:ascii="黑体" w:hAnsi="黑体" w:eastAsia="黑体"/>
          <w:sz w:val="30"/>
          <w:szCs w:val="30"/>
          <w:lang w:val="en-US" w:eastAsia="zh-CN"/>
        </w:rPr>
      </w:pPr>
      <w:r>
        <w:rPr>
          <w:rFonts w:hint="eastAsia" w:ascii="黑体" w:hAnsi="黑体" w:eastAsia="黑体"/>
          <w:sz w:val="30"/>
          <w:szCs w:val="30"/>
          <w:lang w:val="en-US" w:eastAsia="zh-CN"/>
        </w:rPr>
        <w:t>标准的特色</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全国总工会于2019年10月14日下发总工办发[2019]17号文件《关于广泛深入持久开展“五小”活动的指导意见》，截止目前，全国多个省、市、区（县）成功举办“五小”创新成果赛事，广东省也举办了多个“五小”创新成果赛事；赛事组织管理规范有效保障赛事标准的质量，赛事标准则保障赛事的举办效果，本标准综合考虑珠海市产业结构、产业规划及企业展示交流需要。</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157" w:afterLines="50" w:line="240" w:lineRule="auto"/>
        <w:ind w:firstLine="602" w:firstLineChars="200"/>
        <w:textAlignment w:val="auto"/>
        <w:rPr>
          <w:rFonts w:hint="eastAsia" w:ascii="黑体" w:hAnsi="黑体" w:eastAsia="黑体"/>
          <w:sz w:val="30"/>
          <w:szCs w:val="30"/>
          <w:lang w:val="en-US" w:eastAsia="zh-CN"/>
        </w:rPr>
      </w:pPr>
      <w:r>
        <w:rPr>
          <w:rFonts w:hint="eastAsia" w:ascii="黑体" w:hAnsi="黑体" w:eastAsia="黑体"/>
          <w:sz w:val="30"/>
          <w:szCs w:val="30"/>
          <w:lang w:val="en-US" w:eastAsia="zh-CN"/>
        </w:rPr>
        <w:t>重大分歧意见的处理经过和依据</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157" w:afterLines="50" w:line="240" w:lineRule="auto"/>
        <w:ind w:firstLine="602" w:firstLineChars="200"/>
        <w:textAlignment w:val="auto"/>
        <w:rPr>
          <w:rFonts w:hint="eastAsia" w:ascii="黑体" w:hAnsi="黑体" w:eastAsia="黑体"/>
          <w:sz w:val="30"/>
          <w:szCs w:val="30"/>
          <w:lang w:val="en-US" w:eastAsia="zh-CN"/>
        </w:rPr>
      </w:pPr>
      <w:r>
        <w:rPr>
          <w:rFonts w:hint="eastAsia" w:ascii="黑体" w:hAnsi="黑体" w:eastAsia="黑体"/>
          <w:sz w:val="30"/>
          <w:szCs w:val="30"/>
          <w:lang w:val="en-US" w:eastAsia="zh-CN"/>
        </w:rPr>
        <w:t>与现行法律法规、强制性标准等上位标准的关系</w:t>
      </w:r>
    </w:p>
    <w:p>
      <w:pPr>
        <w:autoSpaceDE w:val="0"/>
        <w:spacing w:line="360" w:lineRule="auto"/>
        <w:ind w:firstLine="640" w:firstLineChars="200"/>
        <w:jc w:val="left"/>
        <w:rPr>
          <w:rFonts w:hint="default" w:ascii="仿宋_GB2312" w:eastAsia="仿宋_GB2312"/>
          <w:sz w:val="32"/>
          <w:szCs w:val="32"/>
          <w:lang w:val="en-US" w:eastAsia="zh-CN"/>
        </w:rPr>
      </w:pPr>
      <w:r>
        <w:rPr>
          <w:rFonts w:hint="default" w:ascii="仿宋_GB2312" w:eastAsia="仿宋_GB2312"/>
          <w:sz w:val="32"/>
          <w:szCs w:val="32"/>
          <w:lang w:val="en-US" w:eastAsia="zh-CN"/>
        </w:rPr>
        <w:t>本标准的制度符合国家现行法律、法规和相关规定及符合下列国家、行业、地方标准的要求。</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157" w:afterLines="50" w:line="240" w:lineRule="auto"/>
        <w:ind w:firstLine="602" w:firstLineChars="200"/>
        <w:textAlignment w:val="auto"/>
        <w:rPr>
          <w:rFonts w:hint="eastAsia" w:ascii="黑体" w:hAnsi="黑体" w:eastAsia="黑体"/>
          <w:sz w:val="30"/>
          <w:szCs w:val="30"/>
          <w:lang w:val="en-US" w:eastAsia="zh-CN"/>
        </w:rPr>
      </w:pPr>
      <w:r>
        <w:rPr>
          <w:rFonts w:hint="eastAsia" w:ascii="黑体" w:hAnsi="黑体" w:eastAsia="黑体"/>
          <w:sz w:val="30"/>
          <w:szCs w:val="30"/>
          <w:lang w:val="en-US" w:eastAsia="zh-CN"/>
        </w:rPr>
        <w:t>贯彻标准的要求和措施建议</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本标准发表实施后，本单位将和相关主管部门联合编制技术操作简易小册子和印发标准文本进行宣传，举办标准培训班，组织相关企业进行标准学习，确保《“五小”创新成果赛事组织管理规范》有效实施。</w:t>
      </w:r>
    </w:p>
    <w:p>
      <w:pPr>
        <w:pStyle w:val="3"/>
        <w:keepNext/>
        <w:keepLines/>
        <w:pageBreakBefore w:val="0"/>
        <w:widowControl w:val="0"/>
        <w:numPr>
          <w:ilvl w:val="0"/>
          <w:numId w:val="2"/>
        </w:numPr>
        <w:kinsoku/>
        <w:wordWrap/>
        <w:overflowPunct/>
        <w:topLinePunct w:val="0"/>
        <w:autoSpaceDE/>
        <w:autoSpaceDN/>
        <w:bidi w:val="0"/>
        <w:adjustRightInd/>
        <w:snapToGrid/>
        <w:spacing w:before="581" w:beforeLines="100" w:after="581" w:afterLines="100" w:line="240" w:lineRule="auto"/>
        <w:ind w:firstLine="643" w:firstLineChars="200"/>
        <w:textAlignment w:val="auto"/>
        <w:rPr>
          <w:rFonts w:hint="eastAsia" w:ascii="黑体" w:hAnsi="黑体" w:eastAsia="黑体"/>
          <w:lang w:val="en-US" w:eastAsia="zh-CN"/>
        </w:rPr>
      </w:pPr>
      <w:r>
        <w:rPr>
          <w:rFonts w:hint="eastAsia" w:ascii="黑体" w:hAnsi="黑体" w:eastAsia="黑体"/>
          <w:lang w:val="en-US" w:eastAsia="zh-CN"/>
        </w:rPr>
        <w:t>其它予以说明的事项</w:t>
      </w:r>
    </w:p>
    <w:p>
      <w:pPr>
        <w:autoSpaceDE w:val="0"/>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spacing w:line="360" w:lineRule="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w:t>
      </w:r>
    </w:p>
    <w:p>
      <w:pPr>
        <w:spacing w:line="360" w:lineRule="auto"/>
        <w:rPr>
          <w:rFonts w:hint="eastAsia" w:ascii="仿宋_GB2312" w:eastAsia="仿宋_GB2312"/>
          <w:b w:val="0"/>
          <w:bCs w:val="0"/>
          <w:sz w:val="32"/>
          <w:szCs w:val="32"/>
          <w:lang w:val="en-US" w:eastAsia="zh-CN"/>
        </w:rPr>
      </w:pPr>
    </w:p>
    <w:p>
      <w:pPr>
        <w:spacing w:line="360" w:lineRule="auto"/>
        <w:rPr>
          <w:rFonts w:hint="eastAsia" w:ascii="仿宋_GB2312" w:eastAsia="仿宋_GB2312"/>
          <w:b w:val="0"/>
          <w:bCs w:val="0"/>
          <w:sz w:val="32"/>
          <w:szCs w:val="32"/>
          <w:lang w:val="en-US" w:eastAsia="zh-CN"/>
        </w:rPr>
      </w:pPr>
    </w:p>
    <w:p>
      <w:pPr>
        <w:pStyle w:val="2"/>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4FCC4"/>
    <w:multiLevelType w:val="singleLevel"/>
    <w:tmpl w:val="9FE4FCC4"/>
    <w:lvl w:ilvl="0" w:tentative="0">
      <w:start w:val="1"/>
      <w:numFmt w:val="chineseCounting"/>
      <w:suff w:val="nothing"/>
      <w:lvlText w:val="%1、"/>
      <w:lvlJc w:val="left"/>
      <w:rPr>
        <w:rFonts w:hint="eastAsia"/>
      </w:rPr>
    </w:lvl>
  </w:abstractNum>
  <w:abstractNum w:abstractNumId="1">
    <w:nsid w:val="A005B717"/>
    <w:multiLevelType w:val="singleLevel"/>
    <w:tmpl w:val="A005B717"/>
    <w:lvl w:ilvl="0" w:tentative="0">
      <w:start w:val="2"/>
      <w:numFmt w:val="decimal"/>
      <w:suff w:val="nothing"/>
      <w:lvlText w:val="（%1）"/>
      <w:lvlJc w:val="left"/>
    </w:lvl>
  </w:abstractNum>
  <w:abstractNum w:abstractNumId="2">
    <w:nsid w:val="F9C6CFAB"/>
    <w:multiLevelType w:val="singleLevel"/>
    <w:tmpl w:val="F9C6CFAB"/>
    <w:lvl w:ilvl="0" w:tentative="0">
      <w:start w:val="1"/>
      <w:numFmt w:val="decimal"/>
      <w:lvlText w:val="%1."/>
      <w:lvlJc w:val="left"/>
      <w:pPr>
        <w:ind w:left="425" w:hanging="425"/>
      </w:pPr>
      <w:rPr>
        <w:rFonts w:hint="default"/>
      </w:rPr>
    </w:lvl>
  </w:abstractNum>
  <w:abstractNum w:abstractNumId="3">
    <w:nsid w:val="2B635E34"/>
    <w:multiLevelType w:val="singleLevel"/>
    <w:tmpl w:val="2B635E34"/>
    <w:lvl w:ilvl="0" w:tentative="0">
      <w:start w:val="1"/>
      <w:numFmt w:val="decimal"/>
      <w:lvlText w:val="%1."/>
      <w:lvlJc w:val="left"/>
      <w:pPr>
        <w:ind w:left="425" w:hanging="425"/>
      </w:pPr>
      <w:rPr>
        <w:rFonts w:hint="default"/>
      </w:rPr>
    </w:lvl>
  </w:abstractNum>
  <w:abstractNum w:abstractNumId="4">
    <w:nsid w:val="6DBF04F4"/>
    <w:multiLevelType w:val="multilevel"/>
    <w:tmpl w:val="6DBF04F4"/>
    <w:lvl w:ilvl="0" w:tentative="0">
      <w:start w:val="1"/>
      <w:numFmt w:val="none"/>
      <w:pStyle w:val="7"/>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7FF8D1E9"/>
    <w:multiLevelType w:val="singleLevel"/>
    <w:tmpl w:val="7FF8D1E9"/>
    <w:lvl w:ilvl="0" w:tentative="0">
      <w:start w:val="1"/>
      <w:numFmt w:val="decimal"/>
      <w:suff w:val="nothing"/>
      <w:lvlText w:val="（%1）"/>
      <w:lvlJc w:val="left"/>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YWVmOGE4ZmM0ZGI0ZTBjYjViY2ZiMDhmMTBiNTYifQ=="/>
  </w:docVars>
  <w:rsids>
    <w:rsidRoot w:val="00000000"/>
    <w:rsid w:val="07FF20AC"/>
    <w:rsid w:val="0D5E229C"/>
    <w:rsid w:val="11C73390"/>
    <w:rsid w:val="157F59DF"/>
    <w:rsid w:val="17A35EB8"/>
    <w:rsid w:val="1B303C73"/>
    <w:rsid w:val="1DE6389C"/>
    <w:rsid w:val="1F0C08FF"/>
    <w:rsid w:val="1FBB6A1E"/>
    <w:rsid w:val="20681C20"/>
    <w:rsid w:val="22000378"/>
    <w:rsid w:val="24491D91"/>
    <w:rsid w:val="29563275"/>
    <w:rsid w:val="2A5447E5"/>
    <w:rsid w:val="2E573A02"/>
    <w:rsid w:val="313003FB"/>
    <w:rsid w:val="3197393D"/>
    <w:rsid w:val="32BF44A5"/>
    <w:rsid w:val="3611461D"/>
    <w:rsid w:val="375C7F2F"/>
    <w:rsid w:val="3A097345"/>
    <w:rsid w:val="3BE16CCB"/>
    <w:rsid w:val="3D53112B"/>
    <w:rsid w:val="3DBE0FA0"/>
    <w:rsid w:val="3F4018E7"/>
    <w:rsid w:val="436D24B3"/>
    <w:rsid w:val="43F25887"/>
    <w:rsid w:val="452B7CDF"/>
    <w:rsid w:val="47A3653C"/>
    <w:rsid w:val="486510E8"/>
    <w:rsid w:val="4B566D6B"/>
    <w:rsid w:val="4B9234D7"/>
    <w:rsid w:val="503117AC"/>
    <w:rsid w:val="57017CD5"/>
    <w:rsid w:val="610E232B"/>
    <w:rsid w:val="675C3157"/>
    <w:rsid w:val="677C2577"/>
    <w:rsid w:val="69721D76"/>
    <w:rsid w:val="6BC6435F"/>
    <w:rsid w:val="72F737AD"/>
    <w:rsid w:val="79294BA1"/>
    <w:rsid w:val="7A3A5CE2"/>
    <w:rsid w:val="7A542313"/>
    <w:rsid w:val="7E821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
    <w:name w:val="标准文件_注："/>
    <w:next w:val="6"/>
    <w:qFormat/>
    <w:uiPriority w:val="0"/>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1996</Words>
  <Characters>2040</Characters>
  <Lines>0</Lines>
  <Paragraphs>0</Paragraphs>
  <TotalTime>7</TotalTime>
  <ScaleCrop>false</ScaleCrop>
  <LinksUpToDate>false</LinksUpToDate>
  <CharactersWithSpaces>2073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2023-06-16T07:42:00Z</dcterms:created>
  <dc:creator>700004</dc:creator>
  <cp:lastModifiedBy>``Joon..Chan``</cp:lastModifiedBy>
  <dcterms:modified xsi:type="dcterms:W3CDTF">2023-07-12T09:20:03Z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B0073F7CC7CF4E4B9D01CD87F10C2416</vt:lpwstr>
  </property>
</Properties>
</file>